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single"/>
          <w:shd w:fill="auto" w:val="clear"/>
          <w:vertAlign w:val="baseline"/>
        </w:rPr>
        <w:t>Regulamin X</w:t>
      </w:r>
      <w:r>
        <w:rPr>
          <w:rFonts w:eastAsia="Tahoma" w:cs="Tahoma" w:ascii="Tahoma" w:hAnsi="Tahoma"/>
          <w:b/>
          <w:color w:val="4F4F4F"/>
          <w:sz w:val="21"/>
          <w:szCs w:val="21"/>
          <w:u w:val="single"/>
        </w:rPr>
        <w:t>IX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single"/>
          <w:shd w:fill="auto" w:val="clear"/>
          <w:vertAlign w:val="baseline"/>
        </w:rPr>
        <w:t xml:space="preserve"> Festiwalu Pieśni Patriotycznej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single"/>
          <w:shd w:fill="auto" w:val="clear"/>
          <w:vertAlign w:val="baseline"/>
        </w:rPr>
        <w:t>„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single"/>
          <w:shd w:fill="auto" w:val="clear"/>
          <w:vertAlign w:val="baseline"/>
        </w:rPr>
        <w:t>Pieśń Ojczyzny Pełna”, Kock 202</w:t>
      </w:r>
      <w:r>
        <w:rPr>
          <w:rFonts w:eastAsia="Tahoma" w:cs="Tahoma" w:ascii="Tahoma" w:hAnsi="Tahoma"/>
          <w:b/>
          <w:color w:val="4F4F4F"/>
          <w:sz w:val="21"/>
          <w:szCs w:val="21"/>
          <w:u w:val="single"/>
        </w:rPr>
        <w:t>3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 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§1. Organizator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Organizatorami X</w:t>
      </w:r>
      <w:r>
        <w:rPr>
          <w:rFonts w:eastAsia="Tahoma" w:cs="Tahoma" w:ascii="Tahoma" w:hAnsi="Tahoma"/>
          <w:color w:val="4F4F4F"/>
          <w:sz w:val="21"/>
          <w:szCs w:val="21"/>
        </w:rPr>
        <w:t>IX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Festiwalu Pieśni Patriotycznej „Pieśń Ojczyzny Pełna”, zwanego dalej Festiwalem, jest Dom Kultury im. Księżnej Anny z Sapiehów Jabłonowskiej w Kocku.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§2. Czas i miejsce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a. Festiwal jest imprezą cykliczną odbywającą się w Kocku w ramach rocznicowych uroczystości upamiętniających bitwę Samodzielnej Grupy Operacyjnej „Polesie” gen. Franciszka Kleeberga.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/>
          <w:b/>
          <w:color w:val="4F4F4F"/>
          <w:sz w:val="21"/>
          <w:szCs w:val="21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b. W roku bieżącym Festiwal podzielony zostanie na dwie części: </w:t>
      </w:r>
      <w:r>
        <w:rPr>
          <w:rFonts w:eastAsia="Tahoma" w:cs="Tahoma" w:ascii="Tahoma" w:hAnsi="Tahoma"/>
          <w:b/>
          <w:color w:val="4F4F4F"/>
          <w:sz w:val="21"/>
          <w:szCs w:val="21"/>
        </w:rPr>
        <w:t>pierwsza z nich (eliminacje)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odbęd</w:t>
      </w:r>
      <w:r>
        <w:rPr>
          <w:rFonts w:eastAsia="Tahoma" w:cs="Tahoma" w:ascii="Tahoma" w:hAnsi="Tahoma"/>
          <w:b/>
          <w:color w:val="4F4F4F"/>
          <w:sz w:val="21"/>
          <w:szCs w:val="21"/>
        </w:rPr>
        <w:t>zie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się </w:t>
      </w:r>
      <w:r>
        <w:rPr>
          <w:rFonts w:eastAsia="Tahoma" w:cs="Tahoma" w:ascii="Tahoma" w:hAnsi="Tahoma"/>
          <w:b/>
          <w:color w:val="4F4F4F"/>
          <w:sz w:val="21"/>
          <w:szCs w:val="21"/>
        </w:rPr>
        <w:t>1 października (niedziela) o godzinie 15:00, druga (koncerty laureatów) 8 października (niedziela) ok. godziny 13:00.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color w:val="4F4F4F"/>
          <w:sz w:val="21"/>
          <w:szCs w:val="21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c. </w:t>
      </w:r>
      <w:r>
        <w:rPr>
          <w:rFonts w:eastAsia="Tahoma" w:cs="Tahoma" w:ascii="Tahoma" w:hAnsi="Tahoma"/>
          <w:b/>
          <w:color w:val="4F4F4F"/>
          <w:sz w:val="21"/>
          <w:szCs w:val="21"/>
        </w:rPr>
        <w:t>Eliminacje odbędą się w siedzibie Domu Kultury w Kocku przy ulicy Marcina Stępnia 6 na II piętrze, zaś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koncerty laureatów</w:t>
      </w:r>
      <w:r>
        <w:rPr>
          <w:rFonts w:eastAsia="Tahoma" w:cs="Tahoma" w:ascii="Tahoma" w:hAnsi="Tahoma"/>
          <w:b/>
          <w:color w:val="4F4F4F"/>
          <w:sz w:val="21"/>
          <w:szCs w:val="21"/>
        </w:rPr>
        <w:t xml:space="preserve"> w plenerze,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Tahoma" w:cs="Tahoma" w:ascii="Tahoma" w:hAnsi="Tahoma"/>
          <w:b/>
          <w:color w:val="4F4F4F"/>
          <w:sz w:val="21"/>
          <w:szCs w:val="21"/>
        </w:rPr>
        <w:t>na placu Anny Jabłonowskiej w Kocku (w razie niepogody w hali widowiskowo-sportowej w Kocku)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§3 Cele i zadania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a. Edukacja historyczna, poszukiwanie dawnych, zapomnianych już pieśni, utrwalanie najczęściej wykonywanych i popularyzacja nowych utworów o treści patriotycznej, jak również ukazujących piękno naszej Ojczyzny, zwyczaje i tradycje.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b. Kształtowanie postaw patriotyczno-obywatelskich wśród dzieci i młodzieży.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c. Pielęgnowanie i upowszechnianie tradycji niepodległościowej i Kleebergowskiej.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d. Poszukiwanie właściwych form wyrazu artystycznego w wykonywaniu pieśni narodowych i patriotycznych.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e. Upamiętnienie postaci gen. Franciszka Kleeberga.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§4. Założenia programowe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a. Część konkursowa Festiwalu zostanie przeprowadzona w trzech kategoriach: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1. soliści – klasy 1-4 szkoły podstawowej i młodsi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2. soliści – klasy 5-8 szkoły podstawowej</w:t>
      </w:r>
    </w:p>
    <w:p>
      <w:pPr>
        <w:pStyle w:val="Normal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3. soliści – szkoły ponadpodstawowe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b. Uczestnicy Festiwalu wykonują JEDEN utwór.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c. Repertuar: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1. Utwory tradycyjne, historyczne.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2. Utwory nowe, w tym również autorskie.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3. Utwory znane, z nową, własną interpretacją.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§5. Główne kryteria oceny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a. Dobór repertuaru – treść i charakter zgodne z założeniami Regulaminu.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b. Wartość artystyczna utworów oraz ich dobór do możliwości wykonawczych uczestnika.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c. Muzykalność i warunki głosowe wykonawców (emisja, dykcja, intonacja).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d. Interpretacja utworów (inscenizacja ruchowa, estetyka i ogólny wyraz artystyczny).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/>
          <w:b/>
          <w:color w:val="4F4F4F"/>
          <w:sz w:val="21"/>
          <w:szCs w:val="21"/>
        </w:rPr>
      </w:pPr>
      <w:r>
        <w:rPr>
          <w:rFonts w:eastAsia="Tahoma" w:cs="Tahoma" w:ascii="Tahoma" w:hAnsi="Tahoma"/>
          <w:b/>
          <w:color w:val="4F4F4F"/>
          <w:sz w:val="21"/>
          <w:szCs w:val="21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§6. Nagrody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a. Główną nagrodą Festiwalu jest GRAND PRIX przyznawane niezależnie od kategorii (dyplom, statuetka i nagroda rzeczowa).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b. W poszczególnych kategoriach przewidziane są nagrody rzeczowe i dyplomy. Nagrody przyznaje jury Festiwalu powołane przez Organizatora.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§7. Postanowienia końcowe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a. Organizatorzy Festiwalu zapewniają nagłośnienie.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b. Zgłoszenie należy przesłać do 24 września 202</w:t>
      </w:r>
      <w:r>
        <w:rPr>
          <w:rFonts w:eastAsia="Tahoma" w:cs="Tahoma" w:ascii="Tahoma" w:hAnsi="Tahoma"/>
          <w:color w:val="4F4F4F"/>
          <w:sz w:val="21"/>
          <w:szCs w:val="21"/>
        </w:rPr>
        <w:t xml:space="preserve">3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r. pocztą (Dom Kultury w Kocku, ul. Apteczna 4, 21-150 Kock) lub pocztą email (domkultury.kock@wp.pl).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c. Uczestnicy Festiwalu przyjeżdżają na koszt własny lub jednostki delegującej.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color w:val="4F4F4F"/>
          <w:sz w:val="21"/>
          <w:szCs w:val="21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d. Uczestnicy Festiwalu zgłaszają się na przesłuchania konkursowe w</w:t>
      </w:r>
      <w:r>
        <w:rPr>
          <w:rFonts w:eastAsia="Tahoma" w:cs="Tahoma" w:ascii="Tahoma" w:hAnsi="Tahoma"/>
          <w:color w:val="4F4F4F"/>
          <w:sz w:val="21"/>
          <w:szCs w:val="21"/>
        </w:rPr>
        <w:t xml:space="preserve"> niedzielę</w:t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color w:val="4F4F4F"/>
          <w:sz w:val="21"/>
          <w:szCs w:val="21"/>
        </w:rPr>
        <w:t>1 października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202</w:t>
      </w:r>
      <w:r>
        <w:rPr>
          <w:rFonts w:eastAsia="Tahoma" w:cs="Tahoma" w:ascii="Tahoma" w:hAnsi="Tahoma"/>
          <w:color w:val="4F4F4F"/>
          <w:sz w:val="21"/>
          <w:szCs w:val="21"/>
        </w:rPr>
        <w:t>3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r. do </w:t>
      </w:r>
      <w:r>
        <w:rPr>
          <w:rFonts w:eastAsia="Tahoma" w:cs="Tahoma" w:ascii="Tahoma" w:hAnsi="Tahoma"/>
          <w:color w:val="4F4F4F"/>
          <w:sz w:val="21"/>
          <w:szCs w:val="21"/>
        </w:rPr>
        <w:t>14:30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"/>
        <w:widowControl/>
        <w:shd w:val="clear" w:fill="FFFFFF"/>
        <w:spacing w:lineRule="auto" w:line="240" w:before="0" w:after="15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e.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>Warunkiem u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l-PL" w:eastAsia="zh-CN" w:bidi="hi-IN"/>
        </w:rPr>
        <w:t>działu i odebrania ewentualnie przyznanej nagrody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w konkursie jest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F4F4F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l-PL" w:eastAsia="zh-CN" w:bidi="hi-IN"/>
        </w:rPr>
        <w:t xml:space="preserve"> obecność podczas wszystkich prezentacji danej kategorii.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83e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19d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3319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jILsrp+s5ZwkQApCDEQTRX/w6Lw==">CgMxLjA4AHIhMW1mcVRvZzVHTlgwcDFPa1cwM3ZlYUswQm8wREhXZGZC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LibreOffice/7.2.0.4$Windows_X86_64 LibreOffice_project/9a9c6381e3f7a62afc1329bd359cc48accb6435b</Application>
  <AppVersion>15.0000</AppVersion>
  <Pages>2</Pages>
  <Words>402</Words>
  <Characters>2666</Characters>
  <CharactersWithSpaces>3128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2018-09-17T08:36:00Z</dcterms:created>
  <dc:creator>ADAM</dc:creator>
  <dc:description/>
  <dc:language>pl-PL</dc:language>
  <cp:lastModifiedBy/>
  <dcterms:modified xsi:type="dcterms:W3CDTF">2023-09-06T10:12:38Z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